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ОПШТИНСКА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УПРАВА ОПШТИНЕ  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КУРШУМЛИЈА</w:t>
      </w: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</w:pP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ОДЕЉЕЊЕ ЗА </w:t>
      </w:r>
      <w:r w:rsidRPr="00F66E59">
        <w:rPr>
          <w:rFonts w:ascii="Times New Roman" w:hAnsi="Times New Roman" w:cs="Times New Roman"/>
          <w:i/>
          <w:color w:val="000000"/>
          <w:sz w:val="28"/>
          <w:szCs w:val="28"/>
          <w:lang w:val="sr-Cyrl-RS"/>
        </w:rPr>
        <w:t>ЛПА БУЏЕТ И ФИНАСИЈЕ</w:t>
      </w: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Default="00F66E59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B1760" w:rsidRPr="00F66E59" w:rsidRDefault="004B1760" w:rsidP="00F6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УПУТСТВО ЗА ПРИПРЕМУ</w:t>
      </w: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ОДЛУКЕ О БУЏЕТУ </w:t>
      </w: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  <w:t xml:space="preserve">ОПШТИНЕ КУРШУМЛИЈА –ПРОГРАМСКО БУЏЕТИРАЊЕ </w:t>
      </w:r>
    </w:p>
    <w:p w:rsidR="00F66E59" w:rsidRPr="004B1760" w:rsidRDefault="00CA097C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ЗА 2021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.годину</w:t>
      </w:r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И ПРОЈЕКЦИЈА</w:t>
      </w:r>
    </w:p>
    <w:p w:rsidR="00F66E59" w:rsidRPr="004B1760" w:rsidRDefault="00CA097C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ЗА 2022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.</w:t>
      </w:r>
      <w:proofErr w:type="gramEnd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gramStart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и</w:t>
      </w:r>
      <w:proofErr w:type="gramEnd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20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  <w:t>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3</w:t>
      </w:r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. </w:t>
      </w:r>
      <w:proofErr w:type="spellStart"/>
      <w:r w:rsidR="00F66E59" w:rsidRPr="004B1760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Годину</w:t>
      </w:r>
      <w:proofErr w:type="spellEnd"/>
    </w:p>
    <w:p w:rsidR="00F66E59" w:rsidRPr="004B1760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  <w:lang w:val="sr-Cyrl-RS"/>
        </w:rPr>
      </w:pPr>
    </w:p>
    <w:p w:rsidR="00F66E59" w:rsidRPr="00F66E59" w:rsidRDefault="00F66E59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sr-Cyrl-RS"/>
        </w:rPr>
        <w:t>јул</w:t>
      </w:r>
    </w:p>
    <w:p w:rsidR="00F66E59" w:rsidRPr="00F66E59" w:rsidRDefault="007B3250" w:rsidP="00F6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2020</w:t>
      </w:r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године</w:t>
      </w:r>
      <w:proofErr w:type="spellEnd"/>
      <w:proofErr w:type="gramEnd"/>
      <w:r w:rsidR="00F66E59" w:rsidRPr="00F66E5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</w:p>
    <w:p w:rsidR="00F66E59" w:rsidRDefault="00F66E59" w:rsidP="00EC06EC">
      <w:pPr>
        <w:pStyle w:val="Default"/>
      </w:pPr>
    </w:p>
    <w:p w:rsidR="00EC06EC" w:rsidRPr="0003226D" w:rsidRDefault="00EC06EC" w:rsidP="0003226D">
      <w:pPr>
        <w:pStyle w:val="Default"/>
        <w:jc w:val="both"/>
      </w:pPr>
    </w:p>
    <w:p w:rsidR="00EC06EC" w:rsidRPr="00EC06EC" w:rsidRDefault="00EC06EC" w:rsidP="00914A44">
      <w:pPr>
        <w:pStyle w:val="Default"/>
        <w:jc w:val="center"/>
      </w:pPr>
      <w:r w:rsidRPr="00EC06EC">
        <w:rPr>
          <w:b/>
          <w:bCs/>
        </w:rPr>
        <w:t>УПУТСТВО ЗА ПРИПРЕМУ</w:t>
      </w:r>
    </w:p>
    <w:p w:rsidR="00EC06EC" w:rsidRPr="00914A44" w:rsidRDefault="00EC06EC" w:rsidP="00914A44">
      <w:pPr>
        <w:pStyle w:val="Default"/>
        <w:jc w:val="center"/>
        <w:rPr>
          <w:lang w:val="sr-Cyrl-RS"/>
        </w:rPr>
      </w:pPr>
      <w:r w:rsidRPr="00EC06EC">
        <w:rPr>
          <w:b/>
          <w:bCs/>
        </w:rPr>
        <w:t xml:space="preserve">ОДЛУКЕ О БУЏЕТУ </w:t>
      </w:r>
      <w:r w:rsidR="00914A44">
        <w:rPr>
          <w:b/>
          <w:bCs/>
          <w:lang w:val="sr-Cyrl-RS"/>
        </w:rPr>
        <w:t>ОПШТИНЕ КУРШУМЛИЈА</w:t>
      </w:r>
    </w:p>
    <w:p w:rsidR="00EC06EC" w:rsidRDefault="00CA097C" w:rsidP="00914A44">
      <w:pPr>
        <w:pStyle w:val="Default"/>
        <w:jc w:val="center"/>
        <w:rPr>
          <w:b/>
          <w:bCs/>
        </w:rPr>
      </w:pPr>
      <w:r>
        <w:rPr>
          <w:b/>
          <w:bCs/>
        </w:rPr>
        <w:t>ЗА 2021. ГОДИНУ И ПРОЈЕКЦИЈА ЗА 2022. И 2023</w:t>
      </w:r>
      <w:r w:rsidR="00EC06EC" w:rsidRPr="00EC06EC">
        <w:rPr>
          <w:b/>
          <w:bCs/>
        </w:rPr>
        <w:t>. ГОДИНУ</w:t>
      </w:r>
    </w:p>
    <w:p w:rsidR="00914A44" w:rsidRPr="00EC06EC" w:rsidRDefault="00914A44" w:rsidP="00914A44">
      <w:pPr>
        <w:pStyle w:val="Default"/>
        <w:jc w:val="center"/>
      </w:pPr>
    </w:p>
    <w:p w:rsidR="00F7232F" w:rsidRPr="00F7232F" w:rsidRDefault="00F7232F" w:rsidP="00F7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A44" w:rsidRDefault="00F7232F" w:rsidP="00F7232F">
      <w:pPr>
        <w:pStyle w:val="Default"/>
        <w:jc w:val="both"/>
        <w:rPr>
          <w:sz w:val="23"/>
          <w:szCs w:val="23"/>
        </w:rPr>
      </w:pPr>
      <w:r w:rsidRPr="00F7232F">
        <w:t xml:space="preserve"> </w:t>
      </w:r>
      <w:r w:rsidRPr="00F7232F">
        <w:rPr>
          <w:sz w:val="23"/>
          <w:szCs w:val="23"/>
        </w:rPr>
        <w:t xml:space="preserve">У складу са чланом 36a Закона о буџетском систему, на основу овог упутства, директни </w:t>
      </w:r>
      <w:r w:rsidR="001E405C">
        <w:rPr>
          <w:sz w:val="23"/>
          <w:szCs w:val="23"/>
        </w:rPr>
        <w:t xml:space="preserve"> и индиректни </w:t>
      </w:r>
      <w:r w:rsidRPr="00F7232F">
        <w:rPr>
          <w:sz w:val="23"/>
          <w:szCs w:val="23"/>
        </w:rPr>
        <w:t>корисници средстава буџета локалне власти припремају пред</w:t>
      </w:r>
      <w:r w:rsidR="00CA097C">
        <w:rPr>
          <w:sz w:val="23"/>
          <w:szCs w:val="23"/>
        </w:rPr>
        <w:t>лог финансијског плана за 2021</w:t>
      </w:r>
      <w:r w:rsidRPr="00F7232F">
        <w:rPr>
          <w:sz w:val="23"/>
          <w:szCs w:val="23"/>
        </w:rPr>
        <w:t>.</w:t>
      </w:r>
      <w:r w:rsidR="00CA097C">
        <w:rPr>
          <w:sz w:val="23"/>
          <w:szCs w:val="23"/>
        </w:rPr>
        <w:t xml:space="preserve"> годину, са пројекцијама за 2022. и 2023</w:t>
      </w:r>
      <w:r w:rsidRPr="00F7232F">
        <w:rPr>
          <w:sz w:val="23"/>
          <w:szCs w:val="23"/>
        </w:rPr>
        <w:t>. годину и достављају га локалном органу управе надлежном за финансије.</w:t>
      </w:r>
    </w:p>
    <w:p w:rsidR="00F7232F" w:rsidRPr="00914A44" w:rsidRDefault="00F7232F" w:rsidP="00F7232F">
      <w:pPr>
        <w:pStyle w:val="Default"/>
        <w:jc w:val="both"/>
        <w:rPr>
          <w:lang w:val="sr-Cyrl-RS"/>
        </w:rPr>
      </w:pPr>
    </w:p>
    <w:p w:rsidR="00EC06EC" w:rsidRPr="00EC06EC" w:rsidRDefault="00EC06EC" w:rsidP="00EC06EC">
      <w:pPr>
        <w:pStyle w:val="Default"/>
        <w:jc w:val="both"/>
      </w:pPr>
      <w:r w:rsidRPr="00EC06EC">
        <w:rPr>
          <w:b/>
          <w:bCs/>
        </w:rPr>
        <w:t xml:space="preserve">Програмска структура буџета </w:t>
      </w:r>
    </w:p>
    <w:p w:rsidR="00EC06EC" w:rsidRPr="00EC06EC" w:rsidRDefault="00EC06EC" w:rsidP="00EC06EC">
      <w:pPr>
        <w:pStyle w:val="Default"/>
        <w:jc w:val="both"/>
      </w:pPr>
    </w:p>
    <w:p w:rsidR="00EC06EC" w:rsidRPr="00EC06EC" w:rsidRDefault="00787CD1" w:rsidP="00EC06EC">
      <w:pPr>
        <w:pStyle w:val="Default"/>
        <w:jc w:val="both"/>
      </w:pPr>
      <w:r>
        <w:rPr>
          <w:lang w:val="sr-Cyrl-RS"/>
        </w:rPr>
        <w:t>С</w:t>
      </w:r>
      <w:r w:rsidRPr="00EC06EC">
        <w:t xml:space="preserve">мернице за реформу управљања јавним финансијама </w:t>
      </w:r>
      <w:r>
        <w:rPr>
          <w:lang w:val="sr-Cyrl-RS"/>
        </w:rPr>
        <w:t xml:space="preserve">предвиђене су </w:t>
      </w:r>
      <w:r w:rsidR="00EC06EC" w:rsidRPr="00EC06EC">
        <w:t xml:space="preserve">Програмом реформе управљања јавним финансијама, где је унапређење буџетског процеса кроз примену програмског буџетирања део наведене реформе, која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управе. </w:t>
      </w:r>
    </w:p>
    <w:p w:rsidR="00EC06EC" w:rsidRDefault="00787CD1" w:rsidP="00787CD1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787CD1">
        <w:rPr>
          <w:rFonts w:ascii="Times New Roman" w:eastAsia="CIDFont+F4" w:hAnsi="Times New Roman" w:cs="Times New Roman"/>
          <w:sz w:val="24"/>
          <w:szCs w:val="24"/>
        </w:rPr>
        <w:t>Министарство финансија је у сарадњи са СКГО припремило униформну програмску структуру за ЈЛС која се примењује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787CD1">
        <w:rPr>
          <w:rFonts w:ascii="Times New Roman" w:eastAsia="CIDFont+F4" w:hAnsi="Times New Roman" w:cs="Times New Roman"/>
          <w:sz w:val="24"/>
          <w:szCs w:val="24"/>
        </w:rPr>
        <w:t>изради одлуке о буџету јед</w:t>
      </w:r>
      <w:r w:rsidR="00962582">
        <w:rPr>
          <w:rFonts w:ascii="Times New Roman" w:eastAsia="CIDFont+F4" w:hAnsi="Times New Roman" w:cs="Times New Roman"/>
          <w:sz w:val="24"/>
          <w:szCs w:val="24"/>
        </w:rPr>
        <w:t>иница локалне самоуправе за 2021</w:t>
      </w:r>
      <w:r w:rsidRPr="00787CD1">
        <w:rPr>
          <w:rFonts w:ascii="Times New Roman" w:eastAsia="CIDFont+F4" w:hAnsi="Times New Roman" w:cs="Times New Roman"/>
          <w:sz w:val="24"/>
          <w:szCs w:val="24"/>
        </w:rPr>
        <w:t>. годину, која је ревидирана и садржи 17 програма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, </w:t>
      </w:r>
      <w:r w:rsidRPr="00787CD1">
        <w:rPr>
          <w:rFonts w:ascii="Times New Roman" w:eastAsia="CIDFont+F4" w:hAnsi="Times New Roman" w:cs="Times New Roman"/>
          <w:sz w:val="24"/>
          <w:szCs w:val="24"/>
        </w:rPr>
        <w:t xml:space="preserve">као 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и </w:t>
      </w:r>
      <w:r w:rsidR="001E405C">
        <w:rPr>
          <w:rFonts w:ascii="Times New Roman" w:eastAsia="CIDFont+F4" w:hAnsi="Times New Roman" w:cs="Times New Roman"/>
          <w:sz w:val="24"/>
          <w:szCs w:val="24"/>
        </w:rPr>
        <w:t xml:space="preserve"> програмск</w:t>
      </w:r>
      <w:r w:rsidR="001E405C">
        <w:rPr>
          <w:rFonts w:ascii="Times New Roman" w:eastAsia="CIDFont+F4" w:hAnsi="Times New Roman" w:cs="Times New Roman"/>
          <w:sz w:val="24"/>
          <w:szCs w:val="24"/>
          <w:lang w:val="sr-Cyrl-RS"/>
        </w:rPr>
        <w:t>е</w:t>
      </w:r>
      <w:r w:rsidRPr="00787CD1">
        <w:rPr>
          <w:rFonts w:ascii="Times New Roman" w:eastAsia="CIDFont+F4" w:hAnsi="Times New Roman" w:cs="Times New Roman"/>
          <w:sz w:val="24"/>
          <w:szCs w:val="24"/>
        </w:rPr>
        <w:t xml:space="preserve"> активности са сходно усклађеним шифрама</w:t>
      </w:r>
      <w:r>
        <w:rPr>
          <w:rFonts w:ascii="CIDFont+F4" w:eastAsia="CIDFont+F4" w:cs="CIDFont+F4"/>
          <w:sz w:val="24"/>
          <w:szCs w:val="24"/>
        </w:rPr>
        <w:t>.</w:t>
      </w:r>
      <w:r w:rsidR="00EC06EC" w:rsidRPr="00787CD1">
        <w:rPr>
          <w:rFonts w:ascii="Times New Roman" w:hAnsi="Times New Roman" w:cs="Times New Roman"/>
          <w:sz w:val="24"/>
          <w:szCs w:val="24"/>
        </w:rPr>
        <w:t>Упутство за израду програмског буџета, као и Анекс 5 којим је дефинисана униформна програмска струкура буџета ЈЛС за из</w:t>
      </w:r>
      <w:r w:rsidR="00962582">
        <w:rPr>
          <w:rFonts w:ascii="Times New Roman" w:hAnsi="Times New Roman" w:cs="Times New Roman"/>
          <w:sz w:val="24"/>
          <w:szCs w:val="24"/>
        </w:rPr>
        <w:t>раду одлуке о буџету ЈЛС за 2021</w:t>
      </w:r>
      <w:r w:rsidR="00EC06EC" w:rsidRPr="00787CD1">
        <w:rPr>
          <w:rFonts w:ascii="Times New Roman" w:hAnsi="Times New Roman" w:cs="Times New Roman"/>
          <w:sz w:val="24"/>
          <w:szCs w:val="24"/>
        </w:rPr>
        <w:t>. годину и документ који садржи циљеве програма и програмских активности и листу униформних индикатора могу се наћи на сајту Министарства финансија (</w:t>
      </w:r>
      <w:hyperlink r:id="rId7" w:history="1">
        <w:r w:rsidR="00914A44" w:rsidRPr="00787CD1">
          <w:rPr>
            <w:rStyle w:val="Hyperlink"/>
            <w:rFonts w:ascii="Times New Roman" w:hAnsi="Times New Roman" w:cs="Times New Roman"/>
            <w:sz w:val="24"/>
            <w:szCs w:val="24"/>
          </w:rPr>
          <w:t>www.mfin.gov.rs</w:t>
        </w:r>
      </w:hyperlink>
      <w:r w:rsidR="00EC06EC" w:rsidRPr="00EC06EC">
        <w:t xml:space="preserve">). </w:t>
      </w:r>
    </w:p>
    <w:p w:rsidR="00E1178A" w:rsidRDefault="00E1178A" w:rsidP="00787CD1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</w:p>
    <w:p w:rsidR="00E1178A" w:rsidRPr="00E1178A" w:rsidRDefault="00E1178A" w:rsidP="0078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EC06EC" w:rsidRPr="00C404E7" w:rsidRDefault="00EC06EC" w:rsidP="00EC06EC">
      <w:pPr>
        <w:pStyle w:val="Default"/>
        <w:jc w:val="both"/>
        <w:rPr>
          <w:b/>
          <w:bCs/>
          <w:sz w:val="28"/>
          <w:szCs w:val="28"/>
          <w:lang w:val="sr-Cyrl-RS"/>
        </w:rPr>
      </w:pPr>
      <w:r w:rsidRPr="00C404E7">
        <w:rPr>
          <w:b/>
          <w:bCs/>
          <w:sz w:val="28"/>
          <w:szCs w:val="28"/>
        </w:rPr>
        <w:t xml:space="preserve">Опште напомене за припрему одлуке о буџету локалне власти </w:t>
      </w:r>
    </w:p>
    <w:p w:rsidR="00D00A64" w:rsidRPr="00D00A64" w:rsidRDefault="00D00A64" w:rsidP="00EC06EC">
      <w:pPr>
        <w:pStyle w:val="Default"/>
        <w:jc w:val="both"/>
        <w:rPr>
          <w:lang w:val="sr-Cyrl-RS"/>
        </w:rPr>
      </w:pPr>
    </w:p>
    <w:p w:rsidR="00D00A64" w:rsidRPr="00051971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</w:pP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Услед настале ситуације везане за пандемију заразне болести COVID-19, Министарство финансија даје препору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 јединицама локалне самоуправ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 приликом припремања одлука о буџету имају у виду финансирање свих мера из своје надлежности које су неопходне за спречавање појаве ширења и сузбијања ове заразне болести, као и да приликом планирања расхода изврше распоред средстава у односу на обаве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 чије измирење је приоритетно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</w:t>
      </w:r>
      <w:r w:rsidRPr="00C40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04E7" w:rsidRPr="00C404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а општина Куршумлија даје препоруку својим корисницима да приликом припреме својих финансијских планова имају у виду напред наведене  препоруке Министарства финансије</w:t>
      </w:r>
      <w:r w:rsidR="00C404E7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 xml:space="preserve">. </w:t>
      </w:r>
      <w:r w:rsidR="00C404E7" w:rsidRPr="00051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Законом о буџетском систему је прописано да одредбе закона којима се уређује коришћење и </w:t>
      </w:r>
      <w:r w:rsidRPr="00D00A64">
        <w:rPr>
          <w:rFonts w:ascii="Times New Roman" w:hAnsi="Times New Roman" w:cs="Times New Roman"/>
          <w:b/>
          <w:color w:val="000000"/>
          <w:sz w:val="23"/>
          <w:szCs w:val="23"/>
        </w:rPr>
        <w:t>расподела сопствених прихода</w:t>
      </w: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 које остваре установе основане од стране локалне власти над којима оснивач, преко директних корисника буџетских средстава, врши законом утврђена права у погледу управљања и финансирања, престају да важе кад се за то створе технички услови. </w:t>
      </w:r>
    </w:p>
    <w:p w:rsidR="00D00A64" w:rsidRPr="00D00A64" w:rsidRDefault="00D00A64" w:rsidP="00D0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С обзиром на то да је законодавац оставио могућност да установе до даљњег могу да користе сопствене приходе у складу са законом, </w:t>
      </w:r>
      <w:r w:rsidRPr="00D00A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надлежни орган треба да преиспита основаност и оправданост постојања рачуна сопствених прихода индиректних корисника буџетских </w:t>
      </w:r>
      <w:r w:rsidRPr="00D00A6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средства </w:t>
      </w:r>
      <w:r w:rsidRPr="00D00A64">
        <w:rPr>
          <w:rFonts w:ascii="Times New Roman" w:hAnsi="Times New Roman" w:cs="Times New Roman"/>
          <w:color w:val="000000"/>
          <w:sz w:val="23"/>
          <w:szCs w:val="23"/>
        </w:rPr>
        <w:t xml:space="preserve">(установе културе, спорта и сл.) у случају када коришћење и расподела тих прихода није уређена посебним законима. Уколико буџетски корисник, у складу са посебним законима,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извора, па тек онда из извора 01 - Приходи из буџета (члан 52. Закона о буџетском систему). </w:t>
      </w:r>
    </w:p>
    <w:p w:rsidR="00D00A64" w:rsidRDefault="00D00A64" w:rsidP="00EC06EC">
      <w:pPr>
        <w:pStyle w:val="Default"/>
        <w:jc w:val="both"/>
        <w:rPr>
          <w:color w:val="auto"/>
          <w:lang w:val="sr-Cyrl-RS"/>
        </w:rPr>
      </w:pPr>
    </w:p>
    <w:p w:rsidR="001E405C" w:rsidRDefault="00EC06EC" w:rsidP="00EC06EC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У оквиру спровођења реформе јавних финансија започет је процес унапређења програмског модела буџета кроз увођење принципа </w:t>
      </w:r>
      <w:r w:rsidRPr="00787CD1">
        <w:rPr>
          <w:b/>
          <w:color w:val="auto"/>
        </w:rPr>
        <w:t>родно одговорног буџетирања у буџетски процес.</w:t>
      </w:r>
      <w:r w:rsidRPr="00EC06EC">
        <w:rPr>
          <w:color w:val="auto"/>
        </w:rPr>
        <w:t xml:space="preserve"> До 2020. године предвиђено је да се заокружи процес постепеног увођења родно одговорног буџетирања за све буџетске кориснике на свим нивоима власти, сходно члану 16. став 1. Закона о изменама и допунама Закона о буџетском систему („Службени гласник РС”, број 103/15), путем плана његовог постепеног увођења који доноси покрајински секретаријат за финансије, односно орган надлежан за буџет јединице локалне самоуправе.</w:t>
      </w:r>
    </w:p>
    <w:p w:rsidR="00EC06EC" w:rsidRDefault="00EC06EC" w:rsidP="00255E08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 Имајући у виду наведену законску одредбу неопходно је да надлежни орган локалне власти на годишњем нивоу донесе план поступног увођења родно одговорног буџетирања, којим ће одредити </w:t>
      </w:r>
      <w:r w:rsidRPr="00EC06EC">
        <w:rPr>
          <w:b/>
          <w:bCs/>
          <w:color w:val="auto"/>
        </w:rPr>
        <w:t xml:space="preserve">једног или више корисника буџетских средстава и један или више програма опредељеног буџетског корисника за који/које ће се дефинисати (на нивоу програма и/или програмске активности) најмање један родно одговоран циљ и одговарајући показатељи/индикатори </w:t>
      </w:r>
      <w:r w:rsidRPr="00EC06EC">
        <w:rPr>
          <w:color w:val="auto"/>
        </w:rPr>
        <w:t xml:space="preserve">који адекватно мере допринос циља унапређењу равноправости између жена и мушкараца. </w:t>
      </w:r>
    </w:p>
    <w:p w:rsidR="001E405C" w:rsidRPr="001E405C" w:rsidRDefault="001E405C" w:rsidP="00255E08">
      <w:pPr>
        <w:pStyle w:val="Default"/>
        <w:jc w:val="both"/>
      </w:pPr>
      <w:r w:rsidRPr="001E405C">
        <w:t xml:space="preserve">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</w:t>
      </w:r>
      <w:r w:rsidRPr="001E405C">
        <w:rPr>
          <w:b/>
        </w:rPr>
        <w:t>за првих шест месеци текуће фискалне године (полугодишњи извештај)</w:t>
      </w:r>
      <w:r w:rsidRPr="001E405C">
        <w:t xml:space="preserve">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3 дефинисања показатеља тежити ка томе да они задовоље критеријум </w:t>
      </w:r>
      <w:r w:rsidRPr="00255E08">
        <w:rPr>
          <w:b/>
        </w:rPr>
        <w:t>СМАРТ</w:t>
      </w:r>
      <w:r w:rsidRPr="001E405C">
        <w:t xml:space="preserve">. 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 </w:t>
      </w:r>
    </w:p>
    <w:p w:rsidR="00EC06EC" w:rsidRPr="005D7E2A" w:rsidRDefault="00EC06EC" w:rsidP="00EC06EC">
      <w:pPr>
        <w:pStyle w:val="Default"/>
        <w:jc w:val="both"/>
        <w:rPr>
          <w:color w:val="auto"/>
          <w:lang w:val="sr-Cyrl-RS"/>
        </w:rPr>
      </w:pPr>
    </w:p>
    <w:p w:rsidR="005D7E2A" w:rsidRPr="004D5698" w:rsidRDefault="00EC06EC" w:rsidP="00EC06EC">
      <w:pPr>
        <w:pStyle w:val="Default"/>
        <w:jc w:val="both"/>
        <w:rPr>
          <w:color w:val="auto"/>
          <w:lang w:val="sr-Cyrl-RS"/>
        </w:rPr>
      </w:pPr>
      <w:r w:rsidRPr="00EC06EC">
        <w:rPr>
          <w:color w:val="auto"/>
        </w:rPr>
        <w:t xml:space="preserve">У поступку припреме и доношења буџета, треба планирати расходе за реализацију мера и активности утврђених посебним законима, у оквиру одређених програма, програмских активности, односно пројеката, с тим што се </w:t>
      </w:r>
      <w:r w:rsidRPr="00EC06EC">
        <w:rPr>
          <w:b/>
          <w:bCs/>
          <w:color w:val="auto"/>
        </w:rPr>
        <w:t>исти могу извршавати само до висине апропријације утврђене одлуком о буџету</w:t>
      </w:r>
      <w:r w:rsidRPr="00EC06EC">
        <w:rPr>
          <w:color w:val="auto"/>
        </w:rPr>
        <w:t xml:space="preserve">, </w:t>
      </w:r>
      <w:r w:rsidRPr="00EC06EC">
        <w:rPr>
          <w:b/>
          <w:bCs/>
          <w:color w:val="auto"/>
        </w:rPr>
        <w:t xml:space="preserve">без обзира на то да ли су ови приходи остварени у већем или мањем обиму од планираног. </w:t>
      </w:r>
    </w:p>
    <w:p w:rsidR="005D7E2A" w:rsidRPr="005D7E2A" w:rsidRDefault="005D7E2A" w:rsidP="00EC06EC">
      <w:pPr>
        <w:pStyle w:val="Default"/>
        <w:jc w:val="both"/>
        <w:rPr>
          <w:color w:val="auto"/>
          <w:lang w:val="sr-Cyrl-RS"/>
        </w:rPr>
      </w:pPr>
    </w:p>
    <w:p w:rsidR="005D7E2A" w:rsidRPr="004D5698" w:rsidRDefault="005D7E2A" w:rsidP="005D7E2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24"/>
          <w:szCs w:val="24"/>
          <w:lang w:val="sr-Cyrl-RS"/>
        </w:rPr>
      </w:pPr>
      <w:r w:rsidRPr="004D5698">
        <w:rPr>
          <w:rFonts w:ascii="CIDFont+F5" w:hAnsi="CIDFont+F5" w:cs="CIDFont+F5"/>
          <w:b/>
          <w:sz w:val="24"/>
          <w:szCs w:val="24"/>
        </w:rPr>
        <w:t>Основне макроеконо</w:t>
      </w:r>
      <w:r w:rsidR="00D00A64" w:rsidRPr="004D5698">
        <w:rPr>
          <w:rFonts w:ascii="CIDFont+F5" w:hAnsi="CIDFont+F5" w:cs="CIDFont+F5"/>
          <w:b/>
          <w:sz w:val="24"/>
          <w:szCs w:val="24"/>
        </w:rPr>
        <w:t>мске претпоставке за период 20</w:t>
      </w:r>
      <w:r w:rsidR="00D00A64" w:rsidRPr="004D5698">
        <w:rPr>
          <w:rFonts w:ascii="CIDFont+F5" w:hAnsi="CIDFont+F5" w:cs="CIDFont+F5"/>
          <w:b/>
          <w:sz w:val="24"/>
          <w:szCs w:val="24"/>
          <w:lang w:val="sr-Cyrl-RS"/>
        </w:rPr>
        <w:t>21</w:t>
      </w:r>
      <w:r w:rsidRPr="004D5698">
        <w:rPr>
          <w:rFonts w:ascii="CIDFont+F5" w:hAnsi="CIDFont+F5" w:cs="CIDFont+F5"/>
          <w:b/>
          <w:sz w:val="24"/>
          <w:szCs w:val="24"/>
        </w:rPr>
        <w:t xml:space="preserve">. </w:t>
      </w:r>
      <w:r w:rsidR="008B4BC5" w:rsidRPr="004D5698">
        <w:rPr>
          <w:rFonts w:ascii="CIDFont+F5" w:hAnsi="CIDFont+F5" w:cs="CIDFont+F5"/>
          <w:b/>
          <w:sz w:val="24"/>
          <w:szCs w:val="24"/>
        </w:rPr>
        <w:t>Г</w:t>
      </w:r>
      <w:r w:rsidRPr="004D5698">
        <w:rPr>
          <w:rFonts w:ascii="CIDFont+F5" w:hAnsi="CIDFont+F5" w:cs="CIDFont+F5"/>
          <w:b/>
          <w:sz w:val="24"/>
          <w:szCs w:val="24"/>
        </w:rPr>
        <w:t>одине</w:t>
      </w:r>
    </w:p>
    <w:p w:rsidR="00EC06EC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auto"/>
          <w:lang w:val="sr-Cyrl-RS"/>
        </w:rPr>
      </w:pPr>
      <w:r w:rsidRPr="00A25339">
        <w:rPr>
          <w:b/>
          <w:color w:val="auto"/>
          <w:lang w:val="sr-Cyrl-RS"/>
        </w:rPr>
        <w:t xml:space="preserve">                                                                   2020                                2021</w:t>
      </w:r>
    </w:p>
    <w:p w:rsid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БДП, млрд РСД                                     5507,6                              5989,73</w:t>
      </w:r>
    </w:p>
    <w:p w:rsid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Стопа номиналног раста ДБП %          1,8                                      </w:t>
      </w:r>
      <w:r w:rsidRPr="00364249">
        <w:rPr>
          <w:b/>
          <w:color w:val="auto"/>
          <w:lang w:val="sr-Cyrl-RS"/>
        </w:rPr>
        <w:t xml:space="preserve"> 8,8</w:t>
      </w:r>
    </w:p>
    <w:p w:rsidR="00A25339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Стопа реалног  раста ДБП %              - 1,8                                      6,0</w:t>
      </w:r>
    </w:p>
    <w:p w:rsidR="00A25339" w:rsidRPr="00A25339" w:rsidRDefault="00A25339" w:rsidP="00A253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Инфлација просек период %                 1,5                                     </w:t>
      </w:r>
      <w:r w:rsidRPr="00364249">
        <w:rPr>
          <w:b/>
          <w:color w:val="auto"/>
          <w:lang w:val="sr-Cyrl-RS"/>
        </w:rPr>
        <w:t>1,8</w:t>
      </w:r>
    </w:p>
    <w:p w:rsidR="00A25339" w:rsidRPr="00A25339" w:rsidRDefault="00A25339" w:rsidP="00EC06EC">
      <w:pPr>
        <w:pStyle w:val="Default"/>
        <w:jc w:val="both"/>
        <w:rPr>
          <w:color w:val="auto"/>
          <w:lang w:val="sr-Cyrl-RS"/>
        </w:rPr>
      </w:pPr>
    </w:p>
    <w:p w:rsidR="008B4BC5" w:rsidRPr="00EC06EC" w:rsidRDefault="00EC06EC" w:rsidP="008B4BC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складу са напред наведеним макроекономским показатељима локална власт је </w:t>
      </w: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обавези да реално планира своје приходе буџета. </w:t>
      </w:r>
      <w:r w:rsidRPr="00EC06EC">
        <w:rPr>
          <w:rFonts w:ascii="Times New Roman" w:hAnsi="Times New Roman" w:cs="Times New Roman"/>
          <w:color w:val="000000"/>
          <w:sz w:val="24"/>
          <w:szCs w:val="24"/>
        </w:rPr>
        <w:t xml:space="preserve">Наиме, приликом планирања прихода потребно је поћи од њиховог </w:t>
      </w:r>
      <w:r w:rsidR="001013F6">
        <w:rPr>
          <w:rFonts w:ascii="Times New Roman" w:hAnsi="Times New Roman" w:cs="Times New Roman"/>
          <w:color w:val="000000"/>
          <w:sz w:val="24"/>
          <w:szCs w:val="24"/>
        </w:rPr>
        <w:t>остварења за три квартала у 20</w:t>
      </w:r>
      <w:r w:rsidR="001013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EC06EC">
        <w:rPr>
          <w:rFonts w:ascii="Times New Roman" w:hAnsi="Times New Roman" w:cs="Times New Roman"/>
          <w:color w:val="000000"/>
          <w:sz w:val="24"/>
          <w:szCs w:val="24"/>
        </w:rPr>
        <w:t>. години и њихове процене за задњи квартал те године, што представља основ за примену горе наведених макроекономских параметара, односно основ за њихово увећање, при чему укупа</w:t>
      </w:r>
      <w:r w:rsidR="008B4BC5">
        <w:rPr>
          <w:rFonts w:ascii="Times New Roman" w:hAnsi="Times New Roman" w:cs="Times New Roman"/>
          <w:color w:val="000000"/>
          <w:sz w:val="24"/>
          <w:szCs w:val="24"/>
        </w:rPr>
        <w:t>н раст прихода не сме да буде</w:t>
      </w:r>
      <w:r w:rsidR="008B4BC5" w:rsidRPr="008B4BC5">
        <w:rPr>
          <w:rFonts w:ascii="Times New Roman" w:hAnsi="Times New Roman" w:cs="Times New Roman"/>
          <w:sz w:val="24"/>
          <w:szCs w:val="24"/>
        </w:rPr>
        <w:t xml:space="preserve">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већи од номиналног раста БДП </w:t>
      </w:r>
      <w:r w:rsidR="008B4BC5" w:rsidRPr="00562298">
        <w:rPr>
          <w:rFonts w:ascii="Times New Roman" w:hAnsi="Times New Roman" w:cs="Times New Roman"/>
          <w:b/>
          <w:sz w:val="24"/>
          <w:szCs w:val="24"/>
        </w:rPr>
        <w:t>(п</w:t>
      </w:r>
      <w:r w:rsidR="001013F6" w:rsidRPr="00562298">
        <w:rPr>
          <w:rFonts w:ascii="Times New Roman" w:hAnsi="Times New Roman" w:cs="Times New Roman"/>
          <w:b/>
          <w:sz w:val="24"/>
          <w:szCs w:val="24"/>
        </w:rPr>
        <w:t>ројектован номинални раст у 202</w:t>
      </w:r>
      <w:r w:rsidR="001013F6" w:rsidRPr="0056229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013F6" w:rsidRPr="00562298">
        <w:rPr>
          <w:rFonts w:ascii="Times New Roman" w:hAnsi="Times New Roman" w:cs="Times New Roman"/>
          <w:b/>
          <w:sz w:val="24"/>
          <w:szCs w:val="24"/>
        </w:rPr>
        <w:t xml:space="preserve">. години од </w:t>
      </w:r>
      <w:r w:rsidR="001013F6" w:rsidRPr="00562298">
        <w:rPr>
          <w:rFonts w:ascii="Times New Roman" w:hAnsi="Times New Roman" w:cs="Times New Roman"/>
          <w:b/>
          <w:sz w:val="24"/>
          <w:szCs w:val="24"/>
          <w:lang w:val="sr-Cyrl-RS"/>
        </w:rPr>
        <w:t>8,8</w:t>
      </w:r>
      <w:r w:rsidR="008B4BC5" w:rsidRPr="00562298">
        <w:rPr>
          <w:rFonts w:ascii="Times New Roman" w:hAnsi="Times New Roman" w:cs="Times New Roman"/>
          <w:b/>
          <w:sz w:val="24"/>
          <w:szCs w:val="24"/>
        </w:rPr>
        <w:t xml:space="preserve">%).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Изузетно, локална власт може планирати већи обим прихода, с тим што је у том случају </w:t>
      </w:r>
      <w:r w:rsidR="008B4BC5"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дужна да у образложењу одлуке о буџету наведе разлоге за такво поступање, </w:t>
      </w:r>
      <w:r w:rsidR="008B4BC5" w:rsidRPr="00EC06EC">
        <w:rPr>
          <w:rFonts w:ascii="Times New Roman" w:hAnsi="Times New Roman" w:cs="Times New Roman"/>
          <w:sz w:val="24"/>
          <w:szCs w:val="24"/>
        </w:rPr>
        <w:t xml:space="preserve">као и да образложи параметре (кретање запослености, просечне зараде, очекиване инвестиционе активности, промене у степену наплате пореза на имовину итд.) коришћене за пројекцију таквих прихода. </w:t>
      </w:r>
    </w:p>
    <w:p w:rsidR="00EC06EC" w:rsidRPr="008B4BC5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230A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Уколико локална власт очекује приходе по основу донација, апропријације прихода и расхода (извор финансирања 05 и 06) може планирати у складу са очекиваним износом ових средстава. Апропријације прихода и примања, расхода и издатака из изворa финансирања 07 - Трансфери од других нивоа власти, 08 - Добровољни трансфери од физичких и правних лица и 09 - Примања од продаје нефинансијске имовине могу се планирати у складу са реално очекиваним приливом средстава по тим основама.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Ненаменске трансфере јединице локалне самоуправе треба да планирају у истом износу који је био опредељен Законом о</w:t>
      </w:r>
      <w:r w:rsidR="001013F6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</w:t>
      </w:r>
      <w:r w:rsidR="001013F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C06EC">
        <w:rPr>
          <w:rFonts w:ascii="Times New Roman" w:hAnsi="Times New Roman" w:cs="Times New Roman"/>
          <w:sz w:val="24"/>
          <w:szCs w:val="24"/>
        </w:rPr>
        <w:t>. годину („</w:t>
      </w:r>
      <w:r w:rsidR="001013F6">
        <w:rPr>
          <w:rFonts w:ascii="Times New Roman" w:hAnsi="Times New Roman" w:cs="Times New Roman"/>
          <w:sz w:val="24"/>
          <w:szCs w:val="24"/>
        </w:rPr>
        <w:t xml:space="preserve">Службени гласник РС”, број </w:t>
      </w:r>
      <w:r w:rsidR="00101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3F6">
        <w:rPr>
          <w:rFonts w:ascii="Times New Roman" w:hAnsi="Times New Roman" w:cs="Times New Roman"/>
          <w:sz w:val="24"/>
          <w:szCs w:val="24"/>
        </w:rPr>
        <w:t>/1</w:t>
      </w:r>
      <w:r w:rsidR="001013F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У складу са чланом 5. Закона о буџетском систему приходи и примања исказују се у укупно оствареним износима, а расходи и издаци у укупно извршеним износима. Правилником о условима и начину вођења рачуна за уплату јавних прихода и распоред средстава са тих рачуна прописани су рачуни за уплату јавних прихода, тако да сви јавни приходи и примања којима се финансирају надлежности локалне власти 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>треба да буду уплаћени на рачуне прописане за уплату јавних прихода</w:t>
      </w:r>
      <w:r w:rsidRPr="00EC06EC">
        <w:rPr>
          <w:rFonts w:ascii="Times New Roman" w:hAnsi="Times New Roman" w:cs="Times New Roman"/>
          <w:sz w:val="24"/>
          <w:szCs w:val="24"/>
        </w:rPr>
        <w:t xml:space="preserve">, чиме би се испоштовало уставно начело бруто принципа (члан 92. Устава Републике Србије), а не на подрачуне корисника буџетских средстава.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>Обим средстава, односно лимит расхода и издатака буџетских к</w:t>
      </w:r>
      <w:r w:rsidR="00840C1F">
        <w:rPr>
          <w:rFonts w:ascii="Times New Roman" w:hAnsi="Times New Roman" w:cs="Times New Roman"/>
          <w:b/>
          <w:bCs/>
          <w:sz w:val="24"/>
          <w:szCs w:val="24"/>
        </w:rPr>
        <w:t>орисника за 202</w:t>
      </w:r>
      <w:r w:rsidR="00840C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. годину, са пројекцијама за наредне две фискалне године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Имајући у виду величину потребног фискалног прилагођавања, у овом упутству утврђују се смернице за планирање појединих категорија расхода и издатака, као и ограничења расхода и издатака корисника буџетских средстава.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Приликом планирања обима средстава, односно лимита расхода и издатака за сваког буџетског корисника, локални орган управе надлежан за финансије </w:t>
      </w: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мора реално да их планира, у складу са законом, односно да пође од њиховог извршења у овој години, као и планираних политика у наредном периоду. </w:t>
      </w:r>
    </w:p>
    <w:p w:rsid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Pr="00D230AA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0A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Планирање масе сред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става за плате запослених у 202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години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Законско уређење плата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Плате запослених у јавном сектору уређене су Законом о систему плата запослених у јавном сектору („Службени гласник Р</w:t>
      </w:r>
      <w:r w:rsidR="00840C1F">
        <w:rPr>
          <w:rFonts w:ascii="Times New Roman" w:hAnsi="Times New Roman" w:cs="Times New Roman"/>
          <w:sz w:val="24"/>
          <w:szCs w:val="24"/>
        </w:rPr>
        <w:t xml:space="preserve">С”, број 18/16, 108/16, 113/17 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C06EC">
        <w:rPr>
          <w:rFonts w:ascii="Times New Roman" w:hAnsi="Times New Roman" w:cs="Times New Roman"/>
          <w:sz w:val="24"/>
          <w:szCs w:val="24"/>
        </w:rPr>
        <w:t xml:space="preserve"> 95/18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 xml:space="preserve"> и 86/19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 62/06...21/16 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113/2017</w:t>
      </w:r>
      <w:r w:rsidRPr="00EC06EC">
        <w:rPr>
          <w:rFonts w:ascii="Times New Roman" w:hAnsi="Times New Roman" w:cs="Times New Roman"/>
          <w:sz w:val="24"/>
          <w:szCs w:val="24"/>
        </w:rPr>
        <w:t>- др.закон), Уредбом о коефицијентима за обрачун и исплату плата именованих и постављених лица и запослених у државним органима („Службени гласник РС”, бр. 44/08 - пречишћен текст, 2/12, 113/17-др.закон и 23/18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, 95/18, 86/19</w:t>
      </w:r>
      <w:r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>Приликом обрачуна и исплате плата за запослене у предшколским установама и другим јавним службама (установе културе) не примењује се Уредба о коефицијентима за обрачун и исплату плата именованих и постављених лица и запослених у државним органима, већ Уредба о коефицијентима за обрачун и исплату плата запослених у јавним службама („Службени гласник РС”, бр. 44/01...113/17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...86/19</w:t>
      </w:r>
      <w:r w:rsidRPr="00EC06EC">
        <w:rPr>
          <w:rFonts w:ascii="Times New Roman" w:hAnsi="Times New Roman" w:cs="Times New Roman"/>
          <w:sz w:val="24"/>
          <w:szCs w:val="24"/>
        </w:rPr>
        <w:t xml:space="preserve">-др.закон).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Законом уређена основица за обрачун плата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Приликом обрачуна и исплате плата запослених код корисника буџета локалне власти примењују се основице према закључцима Владе Републике Србије, до почетка примене одредаба Закона о систему плата запослених у јавном сектору.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Планирање масе средстава за п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лате у одлукама о буџету за 202</w:t>
      </w:r>
      <w:r w:rsidR="00840C1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годину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Локална власт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C06EC" w:rsidRPr="00EC06EC">
        <w:rPr>
          <w:rFonts w:ascii="Times New Roman" w:hAnsi="Times New Roman" w:cs="Times New Roman"/>
          <w:sz w:val="24"/>
          <w:szCs w:val="24"/>
        </w:rPr>
        <w:t xml:space="preserve">. години може планирати укупна средства потребна за исплату плата запослених које се финансирају из буџета локалне власти, тако да масу средстава за исплату плата планирају </w:t>
      </w:r>
      <w:r>
        <w:rPr>
          <w:rFonts w:ascii="Times New Roman" w:hAnsi="Times New Roman" w:cs="Times New Roman"/>
          <w:sz w:val="24"/>
          <w:szCs w:val="24"/>
        </w:rPr>
        <w:t>на нивоу исплаћених плата у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C06EC" w:rsidRPr="00EC06EC">
        <w:rPr>
          <w:rFonts w:ascii="Times New Roman" w:hAnsi="Times New Roman" w:cs="Times New Roman"/>
          <w:sz w:val="24"/>
          <w:szCs w:val="24"/>
        </w:rPr>
        <w:t>. години, а највише до дозвољеног нивоа за исплату плата у складу са чланом 42. Закона о</w:t>
      </w:r>
      <w:r>
        <w:rPr>
          <w:rFonts w:ascii="Times New Roman" w:hAnsi="Times New Roman" w:cs="Times New Roman"/>
          <w:sz w:val="24"/>
          <w:szCs w:val="24"/>
        </w:rPr>
        <w:t xml:space="preserve"> буџету Републике Србије за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C06EC" w:rsidRPr="00EC06EC">
        <w:rPr>
          <w:rFonts w:ascii="Times New Roman" w:hAnsi="Times New Roman" w:cs="Times New Roman"/>
          <w:sz w:val="24"/>
          <w:szCs w:val="24"/>
        </w:rPr>
        <w:t>. годину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 РС”,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84/19 и 60/20</w:t>
      </w:r>
      <w:r w:rsidR="00EC06EC" w:rsidRPr="00EC06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Pr="00E264E8" w:rsidRDefault="00E264E8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8">
        <w:rPr>
          <w:rFonts w:ascii="Times New Roman" w:hAnsi="Times New Roman" w:cs="Times New Roman"/>
          <w:sz w:val="24"/>
          <w:szCs w:val="24"/>
        </w:rPr>
        <w:t xml:space="preserve">Укупну масу средстава за плате треба умањити за плате запослених код корисника буџетских средстава које су се финансирале из буџета локалне власти са  економских класификација 411 и 412, а више се не финансирају (због престанка рада корисника и сл.) односно за плате запослених који су радили код тих корисника, а који нису преузети у органе и службе управе или јавне службе чије се плате финансирају из буџета локалне власти на економским класификацијама 411 и 412. </w:t>
      </w:r>
    </w:p>
    <w:p w:rsidR="00E264E8" w:rsidRPr="00E264E8" w:rsidRDefault="00E264E8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8">
        <w:rPr>
          <w:rFonts w:ascii="Times New Roman" w:hAnsi="Times New Roman" w:cs="Times New Roman"/>
          <w:sz w:val="24"/>
          <w:szCs w:val="24"/>
        </w:rPr>
        <w:t>Средства за плате задржана су на нивоу средстава планираних Законом о</w:t>
      </w:r>
      <w:r w:rsidR="00840C1F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264E8">
        <w:rPr>
          <w:rFonts w:ascii="Times New Roman" w:hAnsi="Times New Roman" w:cs="Times New Roman"/>
          <w:sz w:val="24"/>
          <w:szCs w:val="24"/>
        </w:rPr>
        <w:t>. годину, а евентуална корекција износа планираних средстава за плате извршиће се у току буџетске процедуре на основу ревидиране Фискалне стратегије, измена и допуна Закона о буџетском систему и процене потребних средстава</w:t>
      </w:r>
      <w:r w:rsidR="00840C1F">
        <w:rPr>
          <w:rFonts w:ascii="Times New Roman" w:hAnsi="Times New Roman" w:cs="Times New Roman"/>
          <w:sz w:val="24"/>
          <w:szCs w:val="24"/>
        </w:rPr>
        <w:t xml:space="preserve"> за расходе за запослене за 202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4E8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4E8" w:rsidRP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9A4606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A46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Средства за плате се планирају на бази броја запослених који раде, а не систематизованог броја запослених. </w:t>
      </w:r>
    </w:p>
    <w:p w:rsidR="009A4606" w:rsidRPr="009A4606" w:rsidRDefault="009A460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Средства која су била планирана за новозапошљавање у 2020. години не могу се користити за повећање плата запослених који већ раде.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Као и у претход</w:t>
      </w:r>
      <w:r w:rsidR="00C65633">
        <w:rPr>
          <w:rFonts w:ascii="Times New Roman" w:hAnsi="Times New Roman" w:cs="Times New Roman"/>
          <w:sz w:val="24"/>
          <w:szCs w:val="24"/>
        </w:rPr>
        <w:t>ним годинама, и у буџетској 202</w:t>
      </w:r>
      <w:r w:rsidR="00C656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sz w:val="24"/>
          <w:szCs w:val="24"/>
        </w:rPr>
        <w:t>. години не треба планирати обрачун и исплату поклона у новцу, божићних, годишњих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 локалне власти, као и друга примања из члана 120. став 1. тачка 4. Закона о раду („Службени гласник РС”, бр. 24/05, 61/05, 54/09, 32/13, 75/14, 13/17-УС, 113/17 и 95/18-аутентично тумачење) осим јубиларних награда за запослен</w:t>
      </w:r>
      <w:r w:rsidR="00840C1F">
        <w:rPr>
          <w:rFonts w:ascii="Times New Roman" w:hAnsi="Times New Roman" w:cs="Times New Roman"/>
          <w:sz w:val="24"/>
          <w:szCs w:val="24"/>
        </w:rPr>
        <w:t>е који су то право стекли у 202</w:t>
      </w:r>
      <w:r w:rsidR="00840C1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sz w:val="24"/>
          <w:szCs w:val="24"/>
        </w:rPr>
        <w:t xml:space="preserve">. години. </w:t>
      </w:r>
    </w:p>
    <w:p w:rsidR="00EC06EC" w:rsidRPr="00EC06EC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Такође,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C06EC" w:rsidRPr="00EC06EC">
        <w:rPr>
          <w:rFonts w:ascii="Times New Roman" w:hAnsi="Times New Roman" w:cs="Times New Roman"/>
          <w:sz w:val="24"/>
          <w:szCs w:val="24"/>
        </w:rPr>
        <w:t xml:space="preserve">. години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Остале економске класификације у оквиру групе 41 - Расходи за запослене, планирати крајње рестриктивно.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5B6" w:rsidRP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42 - Коришћење услуга и роба </w:t>
      </w:r>
    </w:p>
    <w:p w:rsidR="00D230AA" w:rsidRPr="00D230AA" w:rsidRDefault="00D230AA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>У оквиру групе конта која се односе на куповину роба и услуга, потребно је реално планира</w:t>
      </w:r>
      <w:r w:rsidR="00C65633">
        <w:rPr>
          <w:rFonts w:ascii="Times New Roman" w:hAnsi="Times New Roman" w:cs="Times New Roman"/>
          <w:sz w:val="24"/>
          <w:szCs w:val="24"/>
        </w:rPr>
        <w:t>ти средства за ове намене у 202</w:t>
      </w:r>
      <w:r w:rsidR="00C656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C06EC">
        <w:rPr>
          <w:rFonts w:ascii="Times New Roman" w:hAnsi="Times New Roman" w:cs="Times New Roman"/>
          <w:sz w:val="24"/>
          <w:szCs w:val="24"/>
        </w:rPr>
        <w:t xml:space="preserve">. години, водећи рачуна да се не угрози извршавање сталних трошкова (421 - Стални трошкови).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 </w:t>
      </w:r>
    </w:p>
    <w:p w:rsidR="000625B6" w:rsidRPr="00840C1F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(„Службени гласник РСˮ, бр. 119/12, 68/15 и 113/17). </w:t>
      </w:r>
    </w:p>
    <w:p w:rsid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5B6" w:rsidRPr="000625B6" w:rsidRDefault="000625B6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45 - Субвенције </w:t>
      </w:r>
    </w:p>
    <w:p w:rsidR="008C2A6F" w:rsidRPr="00EC06EC" w:rsidRDefault="008C2A6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У оквиру субвенција неопходно је преиспитати све програме по основу којих се додељују субвенције. Приликом планирања средстава за субвенције и њихових намена посебно треба имати у виду све прописе који се тичу државне помоћи. </w:t>
      </w:r>
    </w:p>
    <w:p w:rsidR="00840C1F" w:rsidRPr="00840C1F" w:rsidRDefault="00840C1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sz w:val="24"/>
          <w:szCs w:val="24"/>
        </w:rPr>
        <w:t xml:space="preserve">Група конта 48 - Остали расходи </w:t>
      </w:r>
    </w:p>
    <w:p w:rsidR="008C2A6F" w:rsidRPr="00EC06EC" w:rsidRDefault="008C2A6F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EC">
        <w:rPr>
          <w:rFonts w:ascii="Times New Roman" w:hAnsi="Times New Roman" w:cs="Times New Roman"/>
          <w:sz w:val="24"/>
          <w:szCs w:val="24"/>
        </w:rPr>
        <w:t xml:space="preserve">Приликом планирања наведених расхода, треба имати у виду да се услед недовољног износа средстава на економској класификацији 483 - Новчане казне и пенали по решењу судова, иста повећава смањењем осталих економских класификација, на којима је, због </w:t>
      </w:r>
      <w:r w:rsidRPr="00EC06EC">
        <w:rPr>
          <w:rFonts w:ascii="Times New Roman" w:hAnsi="Times New Roman" w:cs="Times New Roman"/>
          <w:sz w:val="24"/>
          <w:szCs w:val="24"/>
        </w:rPr>
        <w:lastRenderedPageBreak/>
        <w:t>наведеног, неопходно прилагодити преузимање обавеза, како би се на тај н</w:t>
      </w:r>
      <w:r w:rsidR="00CF1BFC">
        <w:rPr>
          <w:rFonts w:ascii="Times New Roman" w:hAnsi="Times New Roman" w:cs="Times New Roman"/>
          <w:sz w:val="24"/>
          <w:szCs w:val="24"/>
        </w:rPr>
        <w:t xml:space="preserve">ачин спречило стварање доцњи. </w:t>
      </w:r>
      <w:r w:rsidRPr="00EC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EC" w:rsidRP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Смернице за исказивање издатака за капиталне пројекте </w:t>
      </w:r>
    </w:p>
    <w:p w:rsidR="00EC06EC" w:rsidRPr="00433F3A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C06EC" w:rsidRDefault="00EC06EC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Класа 5 - Издаци за нефинансијску имовину </w:t>
      </w:r>
    </w:p>
    <w:p w:rsidR="00F36404" w:rsidRDefault="00F36404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06EC">
        <w:rPr>
          <w:rFonts w:ascii="Times New Roman" w:hAnsi="Times New Roman" w:cs="Times New Roman"/>
          <w:color w:val="000000"/>
          <w:sz w:val="24"/>
          <w:szCs w:val="24"/>
        </w:rPr>
        <w:t xml:space="preserve">У циљу ефикасног планирања, важно је да корисници расходе за текуће поправке и одржавање зграда, објеката и опреме (за молерске, зидарске радове, поправке електронске и електричне опреме, замена санитарија, радијатора и сличне послове), којима се чувa упoтрeбнa врeднoст зграда, објеката и опреме у стaњу кoje je билo у трeнутку изгрaдњe, oднoснo рeкoнструкциje и којима се не увећава њихова инвестициона вредност планирају на апропријацији економске класификације 425 - Текуће поправке и одржавање, док се средства за капитално одржавање (знaчajни, дугoрoчни рaдoви нa рeнoвирaњу и унaпрeђeњу пoстojeћих oбjeкaтa и опреме, адаптација, реконструкција, санација и др.)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планирају на контима класе 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264E8" w:rsidRDefault="00E264E8" w:rsidP="00EC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24876" w:rsidRDefault="00CF1BFC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4876" w:rsidRPr="00E2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Капитални пројекти </w:t>
      </w:r>
    </w:p>
    <w:p w:rsidR="00CF1BFC" w:rsidRPr="00CF1BFC" w:rsidRDefault="00CF1BFC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24876" w:rsidRPr="00E24876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Капитални пројекти су пројекти изградње и капиталног одржавања зграда и грађевинских објеката инфраструктуре од интереса за </w:t>
      </w:r>
      <w:r w:rsidRPr="00E248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локалну самоуправу</w:t>
      </w: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, укључујући услуге пројектног планирања које је саставни део пројекта, обезбеђивање земљишта за изградњу, као и пројекти који подразумевају улагања у опрему, машине и другу нефинансијску имовину, а у функцији су јавног интереса. </w:t>
      </w:r>
    </w:p>
    <w:p w:rsidR="00E24876" w:rsidRPr="00CF1BFC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 xml:space="preserve">Капитални пројекти планирају се и укључују у буџет у складу са одредбама </w:t>
      </w:r>
      <w:r w:rsidRPr="00CF1BFC">
        <w:rPr>
          <w:rFonts w:ascii="Times New Roman" w:hAnsi="Times New Roman" w:cs="Times New Roman"/>
          <w:color w:val="000000"/>
          <w:sz w:val="24"/>
          <w:szCs w:val="24"/>
        </w:rPr>
        <w:t xml:space="preserve">Уредбе о садржини, начину припреме и оцене, као и праћењу спровођења и извештавању о реализацији капиталних пројеката („Службени гласник РС”, бр. 63/17) и Правилника о садржини, роковима и поступку достављања инвестиционе документације за капиталне пројекте („Службени гласник РС”, бр. 18/18). </w:t>
      </w:r>
    </w:p>
    <w:p w:rsidR="00E24876" w:rsidRPr="00E24876" w:rsidRDefault="00E24876" w:rsidP="00E2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876">
        <w:rPr>
          <w:rFonts w:ascii="Times New Roman" w:hAnsi="Times New Roman" w:cs="Times New Roman"/>
          <w:color w:val="000000"/>
          <w:sz w:val="24"/>
          <w:szCs w:val="24"/>
        </w:rPr>
        <w:t>Капиталним пројектима се увећава имовина локалне власти путем изградње и капиталног одржавања грађевинских</w:t>
      </w:r>
      <w:r w:rsidRPr="00E248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24876">
        <w:rPr>
          <w:rFonts w:ascii="Times New Roman" w:hAnsi="Times New Roman" w:cs="Times New Roman"/>
          <w:color w:val="000000"/>
          <w:sz w:val="24"/>
          <w:szCs w:val="24"/>
        </w:rPr>
        <w:t>објеката инфраструктуре и улагања у опрему, машине и другу нефинансијску имовину.</w:t>
      </w:r>
    </w:p>
    <w:p w:rsidR="00F36404" w:rsidRPr="00E264E8" w:rsidRDefault="00F36404" w:rsidP="00E2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Капиталним пројектом се поред изградње и капиталног одржавања зграда и грађевинских објеката инфраструктуре сматра 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улaгaње у куповину зграда и објеката, као и другу нeфинaнсиjску имoвину чији је век трајања, односно коришћења дужи одједне године, независно од тога да ли је капитални пројекат исказан као посебан пројекат унутар програма или као издатак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оквиру одређене програмске активности у буџету.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Капитални пројекат садржи све неопходне активности са потребним ресурсима које се планирају и реализују током целог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пројектног циклуса у складу са јасно дефинисаним циљевима и резултатима пројекта, а у циљу постизања одрживе 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дугорочне употребне вредности пројекта.</w:t>
      </w:r>
    </w:p>
    <w:p w:rsidR="008C2A6F" w:rsidRPr="000E2647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b/>
          <w:sz w:val="24"/>
          <w:szCs w:val="24"/>
        </w:rPr>
      </w:pPr>
      <w:r w:rsidRPr="008C2A6F">
        <w:rPr>
          <w:rFonts w:ascii="Times New Roman" w:eastAsia="CIDFont+F4" w:hAnsi="Times New Roman" w:cs="Times New Roman"/>
          <w:b/>
          <w:sz w:val="24"/>
          <w:szCs w:val="24"/>
        </w:rPr>
        <w:t>Планирање издатака капиталног пројекта</w:t>
      </w: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Ради ефикаснијег планирања издатака капиталних пројеката корисници буџетских средстава дужни су да локалном органу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 xml:space="preserve">надлежном за финансије доставе попуњене табеле </w:t>
      </w:r>
      <w:r w:rsidRPr="000E2647">
        <w:rPr>
          <w:rFonts w:ascii="Times New Roman" w:eastAsia="CIDFont+F4" w:hAnsi="Times New Roman" w:cs="Times New Roman"/>
          <w:sz w:val="24"/>
          <w:szCs w:val="24"/>
        </w:rPr>
        <w:lastRenderedPageBreak/>
        <w:t>за капиталне пројекте. У наведеним табелама, корисници су у обавези да</w:t>
      </w:r>
      <w:r w:rsidR="009A4606"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 xml:space="preserve">искажу планиране издатке за капиталне пројекте по годинама који се односе на изградњу и капитално одржавање, </w:t>
      </w:r>
      <w:r w:rsidRPr="009A4606">
        <w:rPr>
          <w:rFonts w:ascii="Times New Roman" w:eastAsia="CIDFont+F4" w:hAnsi="Times New Roman" w:cs="Times New Roman"/>
          <w:b/>
          <w:sz w:val="24"/>
          <w:szCs w:val="24"/>
        </w:rPr>
        <w:t>по контима</w:t>
      </w:r>
      <w:r w:rsidRPr="009A4606">
        <w:rPr>
          <w:rFonts w:ascii="Times New Roman" w:eastAsia="CIDFont+F4" w:hAnsi="Times New Roman" w:cs="Times New Roman"/>
          <w:b/>
          <w:sz w:val="24"/>
          <w:szCs w:val="24"/>
          <w:lang w:val="sr-Cyrl-RS"/>
        </w:rPr>
        <w:t xml:space="preserve"> </w:t>
      </w:r>
      <w:r w:rsidRPr="009A4606">
        <w:rPr>
          <w:rFonts w:ascii="Times New Roman" w:eastAsia="CIDFont+F4" w:hAnsi="Times New Roman" w:cs="Times New Roman"/>
          <w:b/>
          <w:sz w:val="24"/>
          <w:szCs w:val="24"/>
        </w:rPr>
        <w:t>на трећем и четвртом нивоу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, и то: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1) издатке за израду пројектно-техничке документације на конту 5114 (осим уколико је иста већ израђена);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2) издатке за експропријацију земљишта на конту 5411;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3) издатке за извођење радова на изградњи, односно извођење радова на капиталном одржавању на контима 5112 и 5113;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4) издатке за ангажовање стручног надзора на конту 5114 (осим уколико исти нису планирани од стране инвеститора или нанеки други начин).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Корисници су у обавези да, поред издатака за вишегодишње капиталне пројекте, искажу и капиталне издатке за све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једногодишње пројекте односно за пројекте чија реализација траје годину дана</w:t>
      </w:r>
    </w:p>
    <w:p w:rsidR="00EC06EC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eastAsia="CIDFont+F4" w:hAnsi="Times New Roman" w:cs="Times New Roman"/>
          <w:sz w:val="24"/>
          <w:szCs w:val="24"/>
        </w:rPr>
        <w:t>Директни корисници буџетских средстава пројекте рангирају по приоритетима на основу свеобухватне процене потреба, који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ће се утврдити на основу следећих критеријума: релевантности пројекта за остваривање стратешких циљева из надлежности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буџетских корисника, односа трошкова и користи пројекта (укључујући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нето садашњу вредност, интерну стопу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рентабилности, периода повраћаја улагања, коефицијената трошкова и користи и др.), потенцијалних ризика за реализацију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пројекта, ефеката пројекта на друштвени, економски, регионални и еколошки одрживи развој, с тим да приоритет у</w:t>
      </w:r>
      <w:r>
        <w:rPr>
          <w:rFonts w:ascii="Times New Roman" w:eastAsia="CIDFont+F4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eastAsia="CIDFont+F4" w:hAnsi="Times New Roman" w:cs="Times New Roman"/>
          <w:sz w:val="24"/>
          <w:szCs w:val="24"/>
        </w:rPr>
        <w:t>финансирању имају већ започети пројекти.</w:t>
      </w: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625B6" w:rsidRDefault="000625B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  <w:lang w:val="sr-Cyrl-RS"/>
        </w:rPr>
      </w:pPr>
    </w:p>
    <w:p w:rsidR="000E2647" w:rsidRPr="00CF1BFC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5B6">
        <w:rPr>
          <w:rFonts w:ascii="Times New Roman" w:hAnsi="Times New Roman" w:cs="Times New Roman"/>
          <w:b/>
          <w:i/>
          <w:sz w:val="24"/>
          <w:szCs w:val="24"/>
        </w:rPr>
        <w:t>ПОСТУПАК И ДИНАМИКА ПРИПРЕМЕ БУЏЕТА ЛОКАЛНЕ ВЛАСТИ И ПРЕДЛОГА</w:t>
      </w:r>
      <w:r w:rsidRPr="000625B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625B6">
        <w:rPr>
          <w:rFonts w:ascii="Times New Roman" w:hAnsi="Times New Roman" w:cs="Times New Roman"/>
          <w:b/>
          <w:i/>
          <w:sz w:val="24"/>
          <w:szCs w:val="24"/>
        </w:rPr>
        <w:t xml:space="preserve">ФИНАНСИЈСКИХ ПЛАНОВА ДИРЕКТНИХ </w:t>
      </w:r>
      <w:r w:rsidR="00CF1BF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 ИНДИРЕКТНИХ </w:t>
      </w:r>
      <w:r w:rsidRPr="000625B6">
        <w:rPr>
          <w:rFonts w:ascii="Times New Roman" w:hAnsi="Times New Roman" w:cs="Times New Roman"/>
          <w:b/>
          <w:i/>
          <w:sz w:val="24"/>
          <w:szCs w:val="24"/>
        </w:rPr>
        <w:t>КОРИСНИКА СРЕДСТАВА БУЏЕТА ЛОКАЛНЕ</w:t>
      </w:r>
      <w:r w:rsidR="00CF1BF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</w:t>
      </w:r>
      <w:r w:rsidRPr="000625B6">
        <w:rPr>
          <w:rFonts w:ascii="Times New Roman" w:hAnsi="Times New Roman" w:cs="Times New Roman"/>
          <w:b/>
          <w:i/>
          <w:sz w:val="24"/>
          <w:szCs w:val="24"/>
        </w:rPr>
        <w:t>ВЛАСТИ</w:t>
      </w:r>
    </w:p>
    <w:p w:rsidR="00D610C2" w:rsidRPr="00D610C2" w:rsidRDefault="00D610C2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647" w:rsidRDefault="00D610C2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E2647" w:rsidRPr="000E2647">
        <w:rPr>
          <w:rFonts w:ascii="Times New Roman" w:hAnsi="Times New Roman" w:cs="Times New Roman"/>
          <w:sz w:val="24"/>
          <w:szCs w:val="24"/>
        </w:rPr>
        <w:t>путства за припрему нацрта буџета и средњорочн</w:t>
      </w:r>
      <w:r w:rsidR="000E2647">
        <w:rPr>
          <w:rFonts w:ascii="Times New Roman" w:hAnsi="Times New Roman" w:cs="Times New Roman"/>
          <w:sz w:val="24"/>
          <w:szCs w:val="24"/>
        </w:rPr>
        <w:t>их планова, корисници буџетских</w:t>
      </w:r>
      <w:r w:rsidR="000E2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647" w:rsidRPr="000E2647">
        <w:rPr>
          <w:rFonts w:ascii="Times New Roman" w:hAnsi="Times New Roman" w:cs="Times New Roman"/>
          <w:sz w:val="24"/>
          <w:szCs w:val="24"/>
        </w:rPr>
        <w:t>средстава израђују предлог финансијског плана.</w:t>
      </w:r>
    </w:p>
    <w:p w:rsidR="00EE7157" w:rsidRPr="000E2647" w:rsidRDefault="00EE715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157">
        <w:rPr>
          <w:rFonts w:ascii="Times New Roman" w:hAnsi="Times New Roman" w:cs="Times New Roman"/>
          <w:b/>
          <w:sz w:val="24"/>
          <w:szCs w:val="24"/>
        </w:rPr>
        <w:t>Предлог финансијског плана обухвата</w:t>
      </w:r>
      <w:r w:rsidRPr="000E2647">
        <w:rPr>
          <w:rFonts w:ascii="Times New Roman" w:hAnsi="Times New Roman" w:cs="Times New Roman"/>
          <w:sz w:val="24"/>
          <w:szCs w:val="24"/>
        </w:rPr>
        <w:t>:</w:t>
      </w:r>
    </w:p>
    <w:p w:rsidR="00CF1BFC" w:rsidRP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Pr="00CF1BFC" w:rsidRDefault="00840C1F" w:rsidP="00CF1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BFC">
        <w:rPr>
          <w:rFonts w:ascii="Times New Roman" w:hAnsi="Times New Roman" w:cs="Times New Roman"/>
          <w:sz w:val="24"/>
          <w:szCs w:val="24"/>
        </w:rPr>
        <w:t>Расходе и издатке за 202</w:t>
      </w:r>
      <w:r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CF1BFC">
        <w:rPr>
          <w:rFonts w:ascii="Times New Roman" w:hAnsi="Times New Roman" w:cs="Times New Roman"/>
          <w:sz w:val="24"/>
          <w:szCs w:val="24"/>
        </w:rPr>
        <w:t>г. 202</w:t>
      </w:r>
      <w:r w:rsidRPr="00CF1BF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1BFC">
        <w:rPr>
          <w:rFonts w:ascii="Times New Roman" w:hAnsi="Times New Roman" w:cs="Times New Roman"/>
          <w:sz w:val="24"/>
          <w:szCs w:val="24"/>
        </w:rPr>
        <w:t>. и 202</w:t>
      </w:r>
      <w:r w:rsidRPr="00CF1BF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647" w:rsidRPr="00CF1BFC">
        <w:rPr>
          <w:rFonts w:ascii="Times New Roman" w:hAnsi="Times New Roman" w:cs="Times New Roman"/>
          <w:sz w:val="24"/>
          <w:szCs w:val="24"/>
        </w:rPr>
        <w:t>.годину, исказане по буџетској класификацији</w:t>
      </w:r>
      <w:r w:rsidR="00AC2E4C"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656A89" w:rsidRPr="00CF1BFC">
        <w:rPr>
          <w:rFonts w:ascii="Times New Roman" w:hAnsi="Times New Roman" w:cs="Times New Roman"/>
          <w:b/>
          <w:sz w:val="28"/>
          <w:szCs w:val="28"/>
          <w:lang w:val="sr-Cyrl-RS"/>
        </w:rPr>
        <w:t>ТРИ И ЧЕТРИ НИВОА</w:t>
      </w:r>
      <w:r w:rsidR="000E2647" w:rsidRPr="00CF1BFC">
        <w:rPr>
          <w:rFonts w:ascii="Times New Roman" w:hAnsi="Times New Roman" w:cs="Times New Roman"/>
          <w:sz w:val="24"/>
          <w:szCs w:val="24"/>
        </w:rPr>
        <w:t xml:space="preserve"> као и по</w:t>
      </w:r>
      <w:r w:rsidR="00AC2E4C" w:rsidRPr="00CF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647" w:rsidRPr="00CF1BFC">
        <w:rPr>
          <w:rFonts w:ascii="Times New Roman" w:hAnsi="Times New Roman" w:cs="Times New Roman"/>
          <w:sz w:val="24"/>
          <w:szCs w:val="24"/>
        </w:rPr>
        <w:t>програмској класификацији.</w:t>
      </w:r>
    </w:p>
    <w:p w:rsidR="00CF1BFC" w:rsidRPr="00CF1BFC" w:rsidRDefault="00CF1BFC" w:rsidP="00CF1B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Pr="00CF1BFC" w:rsidRDefault="000E2647" w:rsidP="00CF1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BFC">
        <w:rPr>
          <w:rFonts w:ascii="Times New Roman" w:hAnsi="Times New Roman" w:cs="Times New Roman"/>
          <w:b/>
          <w:sz w:val="24"/>
          <w:szCs w:val="24"/>
        </w:rPr>
        <w:t>Детаљно писано образложење расхода и издатака, као и извора финансирања</w:t>
      </w:r>
      <w:r w:rsidR="00656A89" w:rsidRPr="00CF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89" w:rsidRPr="00CF1BFC">
        <w:rPr>
          <w:rFonts w:ascii="Times New Roman" w:hAnsi="Times New Roman" w:cs="Times New Roman"/>
          <w:b/>
          <w:sz w:val="24"/>
          <w:szCs w:val="24"/>
          <w:lang w:val="sr-Cyrl-RS"/>
        </w:rPr>
        <w:t>и ИЗВЕШТАЈ О УЧИНКУ ПРОГРАМА ЗА ПРВИХ ШЕСТ МЕСЕЦИ ТЕКУЋЕ ГОДИНЕ</w:t>
      </w:r>
      <w:r w:rsidRPr="00CF1BFC">
        <w:rPr>
          <w:rFonts w:ascii="Times New Roman" w:hAnsi="Times New Roman" w:cs="Times New Roman"/>
          <w:sz w:val="24"/>
          <w:szCs w:val="24"/>
        </w:rPr>
        <w:t>.</w:t>
      </w:r>
    </w:p>
    <w:p w:rsidR="00CF1BFC" w:rsidRPr="00CF1BFC" w:rsidRDefault="00CF1BFC" w:rsidP="00CF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A89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sz w:val="24"/>
          <w:szCs w:val="24"/>
        </w:rPr>
        <w:t>3) Предлог капиталних пројеката.</w:t>
      </w:r>
    </w:p>
    <w:p w:rsid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FC" w:rsidRPr="00CF1BFC" w:rsidRDefault="00CF1B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46" w:rsidRPr="00921B46" w:rsidRDefault="000E2647" w:rsidP="00A3770B">
      <w:pPr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sr-Cyrl-RS" w:eastAsia="sr-Latn-RS"/>
        </w:rPr>
      </w:pPr>
      <w:r w:rsidRPr="000E264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AC2E4C">
        <w:rPr>
          <w:rFonts w:ascii="Times New Roman" w:hAnsi="Times New Roman" w:cs="Times New Roman"/>
          <w:b/>
          <w:sz w:val="24"/>
          <w:szCs w:val="24"/>
        </w:rPr>
        <w:t>Обрасце које је потребно попунити може</w:t>
      </w:r>
      <w:r w:rsidR="00D610C2">
        <w:rPr>
          <w:rFonts w:ascii="Times New Roman" w:hAnsi="Times New Roman" w:cs="Times New Roman"/>
          <w:b/>
          <w:sz w:val="24"/>
          <w:szCs w:val="24"/>
        </w:rPr>
        <w:t>те преуз</w:t>
      </w:r>
      <w:r w:rsidR="00A3770B">
        <w:rPr>
          <w:rFonts w:ascii="Times New Roman" w:hAnsi="Times New Roman" w:cs="Times New Roman"/>
          <w:b/>
          <w:sz w:val="24"/>
          <w:szCs w:val="24"/>
        </w:rPr>
        <w:t>ети на сајту општине Курсумлија</w:t>
      </w:r>
      <w:r w:rsidR="00A377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begin"/>
      </w:r>
      <w:r w:rsid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 xml:space="preserve"> HYPERLINK "</w:instrText>
      </w:r>
      <w:r w:rsidR="00921B46" w:rsidRP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>https://kursumlija.org/</w:instrText>
      </w:r>
      <w:r w:rsidR="00921B46" w:rsidRPr="00921B46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val="sr-Cyrl-RS" w:eastAsia="sr-Latn-RS"/>
        </w:rPr>
        <w:instrText xml:space="preserve">   </w:instrText>
      </w:r>
      <w:r w:rsidR="00921B46" w:rsidRPr="00921B46">
        <w:rPr>
          <w:rFonts w:ascii="Times New Roman" w:eastAsia="Times New Roman" w:hAnsi="Times New Roman" w:cs="Times New Roman"/>
          <w:color w:val="006621"/>
          <w:sz w:val="24"/>
          <w:szCs w:val="24"/>
          <w:u w:val="single"/>
          <w:shd w:val="clear" w:color="auto" w:fill="FFFFFF"/>
          <w:lang w:val="sr-Cyrl-RS" w:eastAsia="sr-Latn-RS"/>
        </w:rPr>
        <w:instrText>Буџет општине.</w:instrText>
      </w:r>
    </w:p>
    <w:p w:rsidR="00921B46" w:rsidRPr="006C0EAB" w:rsidRDefault="00921B46" w:rsidP="00A3770B">
      <w:pPr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instrText xml:space="preserve">" </w:instrText>
      </w: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separate"/>
      </w:r>
      <w:r w:rsidRPr="006C0EAB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  <w:lang w:eastAsia="sr-Latn-RS"/>
        </w:rPr>
        <w:t>https://kursumlija.org/</w:t>
      </w:r>
      <w:r w:rsidRPr="006C0EAB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  <w:lang w:val="sr-Cyrl-RS" w:eastAsia="sr-Latn-RS"/>
        </w:rPr>
        <w:t xml:space="preserve">   </w:t>
      </w:r>
      <w:r w:rsidRPr="006C0EAB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Буџет општине.</w:t>
      </w:r>
    </w:p>
    <w:p w:rsidR="000E2647" w:rsidRPr="00A3770B" w:rsidRDefault="00921B46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sr-Latn-RS"/>
        </w:rPr>
        <w:fldChar w:fldCharType="end"/>
      </w:r>
      <w:r w:rsidR="000E2647" w:rsidRPr="000E2647">
        <w:rPr>
          <w:rFonts w:ascii="Times New Roman" w:hAnsi="Times New Roman" w:cs="Times New Roman"/>
          <w:sz w:val="24"/>
          <w:szCs w:val="24"/>
        </w:rPr>
        <w:t>5) Финансијски план мора бити у оквиру средстава која су в</w:t>
      </w:r>
      <w:r w:rsidR="000E2647">
        <w:rPr>
          <w:rFonts w:ascii="Times New Roman" w:hAnsi="Times New Roman" w:cs="Times New Roman"/>
          <w:sz w:val="24"/>
          <w:szCs w:val="24"/>
        </w:rPr>
        <w:t xml:space="preserve">ам овим упутством опредељена. </w:t>
      </w:r>
    </w:p>
    <w:p w:rsidR="00FA5880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647">
        <w:rPr>
          <w:rFonts w:ascii="Times New Roman" w:hAnsi="Times New Roman" w:cs="Times New Roman"/>
          <w:sz w:val="24"/>
          <w:szCs w:val="24"/>
        </w:rPr>
        <w:t>6) Захтев за додатна средства се посебно попуњава и не улази у зби</w:t>
      </w:r>
      <w:r>
        <w:rPr>
          <w:rFonts w:ascii="Times New Roman" w:hAnsi="Times New Roman" w:cs="Times New Roman"/>
          <w:sz w:val="24"/>
          <w:szCs w:val="24"/>
        </w:rPr>
        <w:t>р програма, већ се исказује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2647">
        <w:rPr>
          <w:rFonts w:ascii="Times New Roman" w:hAnsi="Times New Roman" w:cs="Times New Roman"/>
          <w:sz w:val="24"/>
          <w:szCs w:val="24"/>
        </w:rPr>
        <w:t xml:space="preserve">посебан програм тј активност или пројекат 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47">
        <w:rPr>
          <w:rFonts w:ascii="Times New Roman" w:hAnsi="Times New Roman" w:cs="Times New Roman"/>
          <w:sz w:val="24"/>
          <w:szCs w:val="24"/>
        </w:rPr>
        <w:t>7) Саставни део финансијског плана су табеле, и то: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47">
        <w:rPr>
          <w:rFonts w:ascii="Times New Roman" w:hAnsi="Times New Roman" w:cs="Times New Roman"/>
          <w:sz w:val="24"/>
          <w:szCs w:val="24"/>
        </w:rPr>
        <w:t>- Број запослених и потребна средства за јубиларне награ</w:t>
      </w:r>
      <w:r w:rsidR="00CF1BFC">
        <w:rPr>
          <w:rFonts w:ascii="Times New Roman" w:hAnsi="Times New Roman" w:cs="Times New Roman"/>
          <w:sz w:val="24"/>
          <w:szCs w:val="24"/>
        </w:rPr>
        <w:t>де и отпремнине запосленима 202</w:t>
      </w:r>
      <w:r w:rsidR="00CF1BF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1BFC">
        <w:rPr>
          <w:rFonts w:ascii="Times New Roman" w:hAnsi="Times New Roman" w:cs="Times New Roman"/>
          <w:sz w:val="24"/>
          <w:szCs w:val="24"/>
        </w:rPr>
        <w:t>-202</w:t>
      </w:r>
      <w:r w:rsidR="00CF1BF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2647">
        <w:rPr>
          <w:rFonts w:ascii="Times New Roman" w:hAnsi="Times New Roman" w:cs="Times New Roman"/>
          <w:sz w:val="24"/>
          <w:szCs w:val="24"/>
        </w:rPr>
        <w:t>.</w:t>
      </w:r>
      <w:r w:rsidRPr="000E2647">
        <w:rPr>
          <w:rFonts w:ascii="Times New Roman" w:hAnsi="Times New Roman" w:cs="Times New Roman"/>
          <w:color w:val="000000"/>
          <w:sz w:val="24"/>
          <w:szCs w:val="24"/>
        </w:rPr>
        <w:t xml:space="preserve"> ПЛ – 1 и ПЛ – 2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47">
        <w:rPr>
          <w:rFonts w:ascii="Times New Roman" w:hAnsi="Times New Roman" w:cs="Times New Roman"/>
          <w:color w:val="000000"/>
          <w:sz w:val="24"/>
          <w:szCs w:val="24"/>
        </w:rPr>
        <w:t>- Преглед броја запослених и средстава за плате (Т1, Т2, Т3, Т4, Т5, Т6, Т7 И Т8)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47">
        <w:rPr>
          <w:rFonts w:ascii="Times New Roman" w:hAnsi="Times New Roman" w:cs="Times New Roman"/>
          <w:color w:val="000000"/>
          <w:sz w:val="24"/>
          <w:szCs w:val="24"/>
        </w:rPr>
        <w:t>- Образац КФ, КП и КИ у складу са Правилником о садржини,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роковима и поступку достављања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E2647">
        <w:rPr>
          <w:rFonts w:ascii="Times New Roman" w:hAnsi="Times New Roman" w:cs="Times New Roman"/>
          <w:color w:val="000000"/>
          <w:sz w:val="24"/>
          <w:szCs w:val="24"/>
        </w:rPr>
        <w:t>инвестиционе документације за капиталне пројекте (</w:t>
      </w:r>
      <w:r w:rsidRPr="000E2647">
        <w:rPr>
          <w:rFonts w:ascii="Times New Roman" w:hAnsi="Times New Roman" w:cs="Times New Roman"/>
          <w:color w:val="333333"/>
          <w:sz w:val="24"/>
          <w:szCs w:val="24"/>
        </w:rPr>
        <w:t>"Службени гласник РС", број 18 од 9. марта 2018.)</w:t>
      </w:r>
    </w:p>
    <w:p w:rsidR="000E2647" w:rsidRPr="00EE715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157">
        <w:rPr>
          <w:rFonts w:ascii="Times New Roman" w:hAnsi="Times New Roman" w:cs="Times New Roman"/>
          <w:b/>
          <w:color w:val="000000"/>
          <w:sz w:val="24"/>
          <w:szCs w:val="24"/>
        </w:rPr>
        <w:t>Сваки образац као и образложење мора бити потписано од стране овлашћеног лица и оверено печатом.</w:t>
      </w:r>
    </w:p>
    <w:p w:rsidR="000E2647" w:rsidRPr="00656A89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A89">
        <w:rPr>
          <w:rFonts w:ascii="Times New Roman" w:hAnsi="Times New Roman" w:cs="Times New Roman"/>
          <w:b/>
          <w:color w:val="000000"/>
          <w:sz w:val="24"/>
          <w:szCs w:val="24"/>
        </w:rPr>
        <w:t>Захтеви без образложења неће бити узети у разматрање, као ни захтеви за капиталне инвестиције који не</w:t>
      </w:r>
      <w:r w:rsidR="00FA5880" w:rsidRPr="00656A8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656A89">
        <w:rPr>
          <w:rFonts w:ascii="Times New Roman" w:hAnsi="Times New Roman" w:cs="Times New Roman"/>
          <w:b/>
          <w:color w:val="000000"/>
          <w:sz w:val="24"/>
          <w:szCs w:val="24"/>
        </w:rPr>
        <w:t>садрже пратећу документацију, сматраће се непотпуним.</w:t>
      </w:r>
    </w:p>
    <w:p w:rsidR="000E2647" w:rsidRP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47">
        <w:rPr>
          <w:rFonts w:ascii="Times New Roman" w:hAnsi="Times New Roman" w:cs="Times New Roman"/>
          <w:color w:val="000000"/>
          <w:sz w:val="24"/>
          <w:szCs w:val="24"/>
        </w:rPr>
        <w:t>Повећање обима средстава могуће је само уколико наведете оправданост увећања прихода.</w:t>
      </w:r>
    </w:p>
    <w:p w:rsidR="000E2647" w:rsidRPr="008C2A6F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>Рок за подношење предлога финансијски</w:t>
      </w:r>
      <w:r w:rsidR="00671A29">
        <w:rPr>
          <w:rFonts w:ascii="Times New Roman" w:hAnsi="Times New Roman" w:cs="Times New Roman"/>
          <w:b/>
          <w:color w:val="000000"/>
          <w:sz w:val="24"/>
          <w:szCs w:val="24"/>
        </w:rPr>
        <w:t>х планова корисника буџета је 3</w:t>
      </w:r>
      <w:r w:rsidR="00671A2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840C1F">
        <w:rPr>
          <w:rFonts w:ascii="Times New Roman" w:hAnsi="Times New Roman" w:cs="Times New Roman"/>
          <w:b/>
          <w:color w:val="000000"/>
          <w:sz w:val="24"/>
          <w:szCs w:val="24"/>
        </w:rPr>
        <w:t>.08.20</w:t>
      </w:r>
      <w:r w:rsidR="00840C1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>.године</w:t>
      </w: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C2A6F" w:rsidRPr="008C2A6F" w:rsidRDefault="008C2A6F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C2A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Куршумлији,</w:t>
      </w:r>
    </w:p>
    <w:p w:rsidR="000E2647" w:rsidRDefault="000E2647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Датум: </w:t>
      </w:r>
      <w:r w:rsidR="00B66602">
        <w:rPr>
          <w:rFonts w:ascii="Times New Roman" w:hAnsi="Times New Roman" w:cs="Times New Roman"/>
          <w:b/>
          <w:color w:val="000000"/>
          <w:sz w:val="24"/>
          <w:szCs w:val="24"/>
        </w:rPr>
        <w:t>20.07</w:t>
      </w:r>
      <w:bookmarkStart w:id="0" w:name="_GoBack"/>
      <w:bookmarkEnd w:id="0"/>
      <w:r w:rsidR="00840C1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840C1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Pr="008C2A6F">
        <w:rPr>
          <w:rFonts w:ascii="Times New Roman" w:hAnsi="Times New Roman" w:cs="Times New Roman"/>
          <w:b/>
          <w:color w:val="000000"/>
          <w:sz w:val="24"/>
          <w:szCs w:val="24"/>
        </w:rPr>
        <w:t>.године</w:t>
      </w:r>
    </w:p>
    <w:p w:rsidR="00BA4DFC" w:rsidRPr="00BA4DFC" w:rsidRDefault="00BA4DFC" w:rsidP="000E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A7525" w:rsidRPr="005A7525" w:rsidRDefault="005A7525" w:rsidP="005A752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625B6" w:rsidRPr="005A7525" w:rsidRDefault="000625B6" w:rsidP="000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  <w:t>Шеф одељења ЛПА буџет и финансије</w:t>
      </w:r>
      <w:r w:rsidRPr="000625B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BA4DF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              </w:t>
      </w:r>
      <w:r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Заменик председника општине</w:t>
      </w:r>
    </w:p>
    <w:p w:rsidR="000625B6" w:rsidRPr="005A7525" w:rsidRDefault="00BA4DFC" w:rsidP="00BA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Данијела Симић дипл ецц                                                      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Куршумлија</w:t>
      </w:r>
    </w:p>
    <w:p w:rsidR="000625B6" w:rsidRPr="005A7525" w:rsidRDefault="00BA4DFC" w:rsidP="00BA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_________________________                              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Небојша Јовић дипл ецц</w:t>
      </w:r>
    </w:p>
    <w:p w:rsidR="000625B6" w:rsidRPr="005A7525" w:rsidRDefault="00BA4DFC" w:rsidP="0006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                                                                         </w:t>
      </w:r>
      <w:r w:rsidR="000625B6"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_____________________</w:t>
      </w:r>
    </w:p>
    <w:p w:rsidR="005A7525" w:rsidRPr="005A7525" w:rsidRDefault="005A7525" w:rsidP="000625B6">
      <w:pPr>
        <w:spacing w:after="0" w:line="240" w:lineRule="auto"/>
        <w:ind w:left="4248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A752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        </w:t>
      </w:r>
    </w:p>
    <w:p w:rsidR="005A7525" w:rsidRPr="005A7525" w:rsidRDefault="005A7525" w:rsidP="005A752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5A7525" w:rsidRPr="005A7525" w:rsidRDefault="005A7525" w:rsidP="005A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5A7525" w:rsidRPr="00D610C2" w:rsidRDefault="005A7525" w:rsidP="00BA4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</w:pP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/>
        </w:rPr>
        <w:t xml:space="preserve">                                                                  </w:t>
      </w:r>
      <w:r w:rsidRPr="005A75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sr-Cyrl-RS"/>
        </w:rPr>
        <w:t xml:space="preserve">   </w:t>
      </w:r>
    </w:p>
    <w:sectPr w:rsidR="005A7525" w:rsidRPr="00D610C2" w:rsidSect="00736B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AABC0"/>
    <w:multiLevelType w:val="hybridMultilevel"/>
    <w:tmpl w:val="799EE8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724A85"/>
    <w:multiLevelType w:val="hybridMultilevel"/>
    <w:tmpl w:val="29041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3FB40A"/>
    <w:multiLevelType w:val="hybridMultilevel"/>
    <w:tmpl w:val="4B0D4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CDA95D"/>
    <w:multiLevelType w:val="hybridMultilevel"/>
    <w:tmpl w:val="6245A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201665"/>
    <w:multiLevelType w:val="hybridMultilevel"/>
    <w:tmpl w:val="CF99D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B5CEC9"/>
    <w:multiLevelType w:val="hybridMultilevel"/>
    <w:tmpl w:val="0F95D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E51278"/>
    <w:multiLevelType w:val="hybridMultilevel"/>
    <w:tmpl w:val="A339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710896"/>
    <w:multiLevelType w:val="hybridMultilevel"/>
    <w:tmpl w:val="B11A5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38DC2F"/>
    <w:multiLevelType w:val="hybridMultilevel"/>
    <w:tmpl w:val="9FF4E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B10AF7C"/>
    <w:multiLevelType w:val="hybridMultilevel"/>
    <w:tmpl w:val="ADD47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2A63C1"/>
    <w:multiLevelType w:val="hybridMultilevel"/>
    <w:tmpl w:val="D97E3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E93214"/>
    <w:multiLevelType w:val="hybridMultilevel"/>
    <w:tmpl w:val="007FD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1E65C1"/>
    <w:multiLevelType w:val="hybridMultilevel"/>
    <w:tmpl w:val="91361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F76746"/>
    <w:multiLevelType w:val="hybridMultilevel"/>
    <w:tmpl w:val="48ECD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4918DA"/>
    <w:multiLevelType w:val="hybridMultilevel"/>
    <w:tmpl w:val="C3B93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72D2B5E"/>
    <w:multiLevelType w:val="hybridMultilevel"/>
    <w:tmpl w:val="924E52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0519"/>
    <w:multiLevelType w:val="hybridMultilevel"/>
    <w:tmpl w:val="50A13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1F3B10"/>
    <w:multiLevelType w:val="hybridMultilevel"/>
    <w:tmpl w:val="E944D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C"/>
    <w:rsid w:val="0003226D"/>
    <w:rsid w:val="00051971"/>
    <w:rsid w:val="000625B6"/>
    <w:rsid w:val="000E2647"/>
    <w:rsid w:val="000E2D5E"/>
    <w:rsid w:val="001013F6"/>
    <w:rsid w:val="00172096"/>
    <w:rsid w:val="001E405C"/>
    <w:rsid w:val="00255E08"/>
    <w:rsid w:val="002D5B02"/>
    <w:rsid w:val="00353F33"/>
    <w:rsid w:val="00364249"/>
    <w:rsid w:val="003F3EF7"/>
    <w:rsid w:val="00433F3A"/>
    <w:rsid w:val="004B1760"/>
    <w:rsid w:val="004D5698"/>
    <w:rsid w:val="00562298"/>
    <w:rsid w:val="005A7525"/>
    <w:rsid w:val="005D7E2A"/>
    <w:rsid w:val="00656A89"/>
    <w:rsid w:val="00671A29"/>
    <w:rsid w:val="00736BD1"/>
    <w:rsid w:val="00787CD1"/>
    <w:rsid w:val="007B3250"/>
    <w:rsid w:val="00840C1F"/>
    <w:rsid w:val="008B4BC5"/>
    <w:rsid w:val="008C2A6F"/>
    <w:rsid w:val="00914A44"/>
    <w:rsid w:val="00921B46"/>
    <w:rsid w:val="00962582"/>
    <w:rsid w:val="009A4606"/>
    <w:rsid w:val="009E77B0"/>
    <w:rsid w:val="00A25339"/>
    <w:rsid w:val="00A3770B"/>
    <w:rsid w:val="00AC2E4C"/>
    <w:rsid w:val="00B66602"/>
    <w:rsid w:val="00BA4DFC"/>
    <w:rsid w:val="00C404E7"/>
    <w:rsid w:val="00C65633"/>
    <w:rsid w:val="00CA097C"/>
    <w:rsid w:val="00CF1BFC"/>
    <w:rsid w:val="00D00A64"/>
    <w:rsid w:val="00D230AA"/>
    <w:rsid w:val="00D37821"/>
    <w:rsid w:val="00D610C2"/>
    <w:rsid w:val="00E1178A"/>
    <w:rsid w:val="00E24876"/>
    <w:rsid w:val="00E264E8"/>
    <w:rsid w:val="00EC06EC"/>
    <w:rsid w:val="00EE7157"/>
    <w:rsid w:val="00F36404"/>
    <w:rsid w:val="00F66E59"/>
    <w:rsid w:val="00F7232F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i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5EBE-F28D-4FF3-A403-5B477D22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2019-07-23T11:22:00Z</cp:lastPrinted>
  <dcterms:created xsi:type="dcterms:W3CDTF">2019-07-23T05:19:00Z</dcterms:created>
  <dcterms:modified xsi:type="dcterms:W3CDTF">2020-07-20T07:55:00Z</dcterms:modified>
</cp:coreProperties>
</file>